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BF1C6" w14:textId="4394045F" w:rsidR="00566A0B" w:rsidRDefault="00933B3E">
      <w:pPr>
        <w:rPr>
          <w:rFonts w:ascii="Verdana" w:hAnsi="Verdana" w:cs="Calibri Light"/>
          <w:sz w:val="24"/>
          <w:szCs w:val="24"/>
        </w:rPr>
      </w:pPr>
      <w:r w:rsidRPr="00933B3E">
        <w:rPr>
          <w:rFonts w:ascii="Verdana" w:hAnsi="Verdana" w:cs="Calibri Light"/>
          <w:sz w:val="24"/>
          <w:szCs w:val="24"/>
        </w:rPr>
        <w:t>Table summarising the indicators that are grouped in the priority area of ‘</w:t>
      </w:r>
      <w:r w:rsidR="00CB3111">
        <w:rPr>
          <w:rFonts w:ascii="Verdana" w:hAnsi="Verdana" w:cs="Calibri Light"/>
          <w:sz w:val="24"/>
          <w:szCs w:val="24"/>
        </w:rPr>
        <w:t>S</w:t>
      </w:r>
      <w:r w:rsidRPr="00933B3E">
        <w:rPr>
          <w:rFonts w:ascii="Verdana" w:hAnsi="Verdana" w:cs="Calibri Light"/>
          <w:sz w:val="24"/>
          <w:szCs w:val="24"/>
        </w:rPr>
        <w:t>tewardship’; including whether they apply to primary or secondary care, the units being used to measure each, and what the overall target is for GP practices and health boards in NHS Wales for 2021 to 2022</w:t>
      </w:r>
    </w:p>
    <w:p w14:paraId="19E1E253" w14:textId="09B444FA" w:rsidR="00933B3E" w:rsidRDefault="00933B3E">
      <w:pPr>
        <w:rPr>
          <w:rFonts w:ascii="Verdana" w:hAnsi="Verdana" w:cs="Calibri Light"/>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8" w:type="dxa"/>
          <w:bottom w:w="28" w:type="dxa"/>
          <w:right w:w="68" w:type="dxa"/>
        </w:tblCellMar>
        <w:tblLook w:val="0000" w:firstRow="0" w:lastRow="0" w:firstColumn="0" w:lastColumn="0" w:noHBand="0" w:noVBand="0"/>
        <w:tblCaption w:val="Table summarising the indicators that are grouped in the priority area of stewardship"/>
        <w:tblDescription w:val="Table summarising the indicators that are grouped in the priority area of ‘stewardship’; including whether they apply to primary or secondary care, the units being used to measure each, and what the overall target is for GP practices and health boards in NHS Wales for 2021 to 2022"/>
      </w:tblPr>
      <w:tblGrid>
        <w:gridCol w:w="1843"/>
        <w:gridCol w:w="1414"/>
        <w:gridCol w:w="2955"/>
        <w:gridCol w:w="2804"/>
      </w:tblGrid>
      <w:tr w:rsidR="00933B3E" w:rsidRPr="00933B3E" w14:paraId="0D19DA97" w14:textId="77777777" w:rsidTr="0008434D">
        <w:trPr>
          <w:cantSplit/>
          <w:trHeight w:val="20"/>
          <w:tblHeader/>
          <w:jc w:val="center"/>
        </w:trPr>
        <w:tc>
          <w:tcPr>
            <w:tcW w:w="1022" w:type="pct"/>
            <w:tcBorders>
              <w:top w:val="single" w:sz="4" w:space="0" w:color="BFBFBF"/>
              <w:left w:val="single" w:sz="4" w:space="0" w:color="BFBFBF"/>
              <w:bottom w:val="single" w:sz="4" w:space="0" w:color="BFBFBF"/>
              <w:right w:val="single" w:sz="4" w:space="0" w:color="BFBFBF"/>
            </w:tcBorders>
            <w:shd w:val="clear" w:color="auto" w:fill="09396D"/>
            <w:vAlign w:val="center"/>
          </w:tcPr>
          <w:p w14:paraId="3773C3E5" w14:textId="77777777" w:rsidR="00933B3E" w:rsidRPr="00933B3E" w:rsidRDefault="00933B3E" w:rsidP="00933B3E">
            <w:pPr>
              <w:pStyle w:val="Heading1"/>
              <w:jc w:val="center"/>
              <w:rPr>
                <w:rFonts w:ascii="Verdana" w:eastAsia="Times New Roman" w:hAnsi="Verdana"/>
                <w:b/>
                <w:bCs/>
                <w:color w:val="FFFFFF" w:themeColor="background1"/>
                <w:sz w:val="20"/>
                <w:szCs w:val="20"/>
                <w:lang w:eastAsia="en-GB"/>
              </w:rPr>
            </w:pPr>
            <w:r w:rsidRPr="00933B3E">
              <w:rPr>
                <w:rFonts w:ascii="Verdana" w:eastAsia="Times New Roman" w:hAnsi="Verdana"/>
                <w:b/>
                <w:bCs/>
                <w:color w:val="FFFFFF" w:themeColor="background1"/>
                <w:sz w:val="20"/>
                <w:szCs w:val="20"/>
                <w:lang w:eastAsia="en-GB"/>
              </w:rPr>
              <w:t>National Prescribing Indicator</w:t>
            </w:r>
          </w:p>
        </w:tc>
        <w:tc>
          <w:tcPr>
            <w:tcW w:w="784" w:type="pct"/>
            <w:tcBorders>
              <w:top w:val="single" w:sz="4" w:space="0" w:color="BFBFBF"/>
              <w:left w:val="single" w:sz="4" w:space="0" w:color="BFBFBF"/>
              <w:bottom w:val="single" w:sz="4" w:space="0" w:color="BFBFBF"/>
              <w:right w:val="single" w:sz="4" w:space="0" w:color="BFBFBF"/>
            </w:tcBorders>
            <w:shd w:val="clear" w:color="auto" w:fill="09396D"/>
            <w:vAlign w:val="center"/>
          </w:tcPr>
          <w:p w14:paraId="6F2EF225" w14:textId="77777777" w:rsidR="00933B3E" w:rsidRPr="00933B3E" w:rsidRDefault="00933B3E" w:rsidP="00933B3E">
            <w:pPr>
              <w:pStyle w:val="Heading1"/>
              <w:jc w:val="center"/>
              <w:rPr>
                <w:rFonts w:ascii="Verdana" w:eastAsia="Times New Roman" w:hAnsi="Verdana"/>
                <w:b/>
                <w:bCs/>
                <w:color w:val="FFFFFF" w:themeColor="background1"/>
                <w:sz w:val="20"/>
                <w:szCs w:val="20"/>
                <w:lang w:eastAsia="en-GB"/>
              </w:rPr>
            </w:pPr>
            <w:r w:rsidRPr="00933B3E">
              <w:rPr>
                <w:rFonts w:ascii="Verdana" w:eastAsia="Times New Roman" w:hAnsi="Verdana"/>
                <w:b/>
                <w:bCs/>
                <w:color w:val="FFFFFF" w:themeColor="background1"/>
                <w:sz w:val="20"/>
                <w:szCs w:val="20"/>
                <w:lang w:eastAsia="en-GB"/>
              </w:rPr>
              <w:t>Applicable to:</w:t>
            </w:r>
          </w:p>
        </w:tc>
        <w:tc>
          <w:tcPr>
            <w:tcW w:w="1639" w:type="pct"/>
            <w:tcBorders>
              <w:top w:val="single" w:sz="4" w:space="0" w:color="BFBFBF"/>
              <w:left w:val="single" w:sz="4" w:space="0" w:color="BFBFBF"/>
              <w:bottom w:val="single" w:sz="4" w:space="0" w:color="BFBFBF"/>
              <w:right w:val="single" w:sz="4" w:space="0" w:color="BFBFBF"/>
            </w:tcBorders>
            <w:shd w:val="clear" w:color="auto" w:fill="09396D"/>
            <w:vAlign w:val="center"/>
          </w:tcPr>
          <w:p w14:paraId="770C59FE" w14:textId="77777777" w:rsidR="00933B3E" w:rsidRPr="00933B3E" w:rsidRDefault="00933B3E" w:rsidP="00933B3E">
            <w:pPr>
              <w:pStyle w:val="Heading1"/>
              <w:jc w:val="center"/>
              <w:rPr>
                <w:rFonts w:ascii="Verdana" w:eastAsia="Times New Roman" w:hAnsi="Verdana"/>
                <w:b/>
                <w:bCs/>
                <w:color w:val="FFFFFF" w:themeColor="background1"/>
                <w:sz w:val="20"/>
                <w:szCs w:val="20"/>
                <w:lang w:eastAsia="en-GB"/>
              </w:rPr>
            </w:pPr>
            <w:r w:rsidRPr="00933B3E">
              <w:rPr>
                <w:rFonts w:ascii="Verdana" w:eastAsia="Times New Roman" w:hAnsi="Verdana"/>
                <w:b/>
                <w:bCs/>
                <w:color w:val="FFFFFF" w:themeColor="background1"/>
                <w:sz w:val="20"/>
                <w:szCs w:val="20"/>
                <w:lang w:eastAsia="en-GB"/>
              </w:rPr>
              <w:t>Unit of measure</w:t>
            </w:r>
          </w:p>
        </w:tc>
        <w:tc>
          <w:tcPr>
            <w:tcW w:w="1555" w:type="pct"/>
            <w:tcBorders>
              <w:top w:val="single" w:sz="4" w:space="0" w:color="BFBFBF"/>
              <w:left w:val="single" w:sz="4" w:space="0" w:color="BFBFBF"/>
              <w:bottom w:val="single" w:sz="4" w:space="0" w:color="BFBFBF"/>
              <w:right w:val="single" w:sz="4" w:space="0" w:color="BFBFBF"/>
            </w:tcBorders>
            <w:shd w:val="clear" w:color="auto" w:fill="09396D"/>
            <w:vAlign w:val="center"/>
          </w:tcPr>
          <w:p w14:paraId="2FE55C7C" w14:textId="77777777" w:rsidR="00933B3E" w:rsidRPr="00933B3E" w:rsidRDefault="00933B3E" w:rsidP="00933B3E">
            <w:pPr>
              <w:pStyle w:val="Heading1"/>
              <w:jc w:val="center"/>
              <w:rPr>
                <w:rFonts w:ascii="Verdana" w:eastAsia="Times New Roman" w:hAnsi="Verdana"/>
                <w:b/>
                <w:bCs/>
                <w:color w:val="FFFFFF" w:themeColor="background1"/>
                <w:sz w:val="20"/>
                <w:szCs w:val="20"/>
                <w:lang w:eastAsia="en-GB"/>
              </w:rPr>
            </w:pPr>
            <w:r w:rsidRPr="00933B3E">
              <w:rPr>
                <w:rFonts w:ascii="Verdana" w:eastAsia="Times New Roman" w:hAnsi="Verdana"/>
                <w:b/>
                <w:bCs/>
                <w:color w:val="FFFFFF" w:themeColor="background1"/>
                <w:sz w:val="20"/>
                <w:szCs w:val="20"/>
                <w:lang w:eastAsia="en-GB"/>
              </w:rPr>
              <w:t>Target for 2021–2022</w:t>
            </w:r>
          </w:p>
        </w:tc>
      </w:tr>
      <w:tr w:rsidR="00933B3E" w:rsidRPr="00933B3E" w14:paraId="3AFE588B" w14:textId="77777777" w:rsidTr="0008434D">
        <w:trPr>
          <w:cantSplit/>
          <w:trHeight w:val="20"/>
          <w:tblHeader/>
          <w:jc w:val="center"/>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D8DFF4"/>
            <w:vAlign w:val="center"/>
          </w:tcPr>
          <w:p w14:paraId="33E388A8" w14:textId="77777777" w:rsidR="00933B3E" w:rsidRPr="00933B3E" w:rsidRDefault="00933B3E" w:rsidP="0008434D">
            <w:pPr>
              <w:spacing w:after="0" w:line="240" w:lineRule="auto"/>
              <w:contextualSpacing/>
              <w:rPr>
                <w:rFonts w:ascii="Verdana" w:eastAsia="Times New Roman" w:hAnsi="Verdana" w:cs="Arial"/>
                <w:b/>
                <w:sz w:val="20"/>
                <w:szCs w:val="20"/>
                <w:lang w:eastAsia="en-GB"/>
              </w:rPr>
            </w:pPr>
            <w:r w:rsidRPr="00933B3E">
              <w:rPr>
                <w:rFonts w:ascii="Verdana" w:eastAsia="Times New Roman" w:hAnsi="Verdana" w:cs="Arial"/>
                <w:b/>
                <w:sz w:val="20"/>
                <w:szCs w:val="20"/>
                <w:lang w:eastAsia="en-GB"/>
              </w:rPr>
              <w:t>Priority areas</w:t>
            </w:r>
          </w:p>
        </w:tc>
      </w:tr>
      <w:tr w:rsidR="00933B3E" w:rsidRPr="00933B3E" w14:paraId="30745DFF" w14:textId="77777777" w:rsidTr="0008434D">
        <w:trPr>
          <w:cantSplit/>
          <w:trHeight w:val="20"/>
          <w:tblHeader/>
          <w:jc w:val="center"/>
        </w:trPr>
        <w:tc>
          <w:tcPr>
            <w:tcW w:w="1022" w:type="pct"/>
            <w:vMerge w:val="restart"/>
            <w:tcBorders>
              <w:top w:val="single" w:sz="4" w:space="0" w:color="BFBFBF"/>
              <w:left w:val="single" w:sz="4" w:space="0" w:color="BFBFBF"/>
              <w:right w:val="single" w:sz="4" w:space="0" w:color="BFBFBF"/>
            </w:tcBorders>
            <w:shd w:val="clear" w:color="auto" w:fill="F4F4F4"/>
            <w:vAlign w:val="center"/>
          </w:tcPr>
          <w:p w14:paraId="4A979939" w14:textId="77777777" w:rsidR="00933B3E" w:rsidRPr="00933B3E" w:rsidRDefault="00933B3E" w:rsidP="0008434D">
            <w:pPr>
              <w:spacing w:after="0" w:line="240" w:lineRule="auto"/>
              <w:contextualSpacing/>
              <w:rPr>
                <w:rFonts w:ascii="Verdana" w:eastAsia="Times New Roman" w:hAnsi="Verdana" w:cs="Arial"/>
                <w:b/>
                <w:sz w:val="20"/>
                <w:szCs w:val="20"/>
                <w:lang w:eastAsia="en-GB"/>
              </w:rPr>
            </w:pPr>
            <w:r w:rsidRPr="00933B3E">
              <w:rPr>
                <w:rFonts w:ascii="Verdana" w:eastAsia="Times New Roman" w:hAnsi="Verdana" w:cs="Arial"/>
                <w:b/>
                <w:sz w:val="20"/>
                <w:szCs w:val="20"/>
                <w:lang w:eastAsia="en-GB"/>
              </w:rPr>
              <w:t>Antimicrobial stewardship</w:t>
            </w:r>
          </w:p>
        </w:tc>
        <w:tc>
          <w:tcPr>
            <w:tcW w:w="784" w:type="pct"/>
            <w:vMerge w:val="restart"/>
            <w:tcBorders>
              <w:top w:val="single" w:sz="4" w:space="0" w:color="BFBFBF"/>
              <w:left w:val="single" w:sz="4" w:space="0" w:color="BFBFBF"/>
              <w:right w:val="single" w:sz="4" w:space="0" w:color="BFBFBF"/>
            </w:tcBorders>
            <w:vAlign w:val="center"/>
          </w:tcPr>
          <w:p w14:paraId="34DDF98C" w14:textId="77777777" w:rsidR="00933B3E" w:rsidRPr="00933B3E" w:rsidRDefault="00933B3E" w:rsidP="0008434D">
            <w:pPr>
              <w:spacing w:after="0" w:line="240" w:lineRule="auto"/>
              <w:contextualSpacing/>
              <w:rPr>
                <w:rFonts w:ascii="Verdana" w:eastAsia="Times New Roman" w:hAnsi="Verdana" w:cs="Arial"/>
                <w:sz w:val="20"/>
                <w:szCs w:val="20"/>
                <w:lang w:eastAsia="en-GB"/>
              </w:rPr>
            </w:pPr>
            <w:r w:rsidRPr="00933B3E">
              <w:rPr>
                <w:rFonts w:ascii="Verdana" w:eastAsia="Times New Roman" w:hAnsi="Verdana" w:cs="Arial"/>
                <w:sz w:val="20"/>
                <w:szCs w:val="20"/>
                <w:lang w:eastAsia="en-GB"/>
              </w:rPr>
              <w:t>Primary care</w:t>
            </w:r>
          </w:p>
        </w:tc>
        <w:tc>
          <w:tcPr>
            <w:tcW w:w="1639" w:type="pct"/>
            <w:tcBorders>
              <w:top w:val="single" w:sz="4" w:space="0" w:color="BFBFBF"/>
              <w:left w:val="single" w:sz="4" w:space="0" w:color="BFBFBF"/>
              <w:bottom w:val="single" w:sz="4" w:space="0" w:color="BFBFBF"/>
              <w:right w:val="single" w:sz="4" w:space="0" w:color="BFBFBF"/>
            </w:tcBorders>
            <w:vAlign w:val="center"/>
          </w:tcPr>
          <w:p w14:paraId="42BB4188" w14:textId="77777777" w:rsidR="00933B3E" w:rsidRPr="00933B3E" w:rsidRDefault="00933B3E" w:rsidP="0008434D">
            <w:pPr>
              <w:spacing w:after="0" w:line="240" w:lineRule="auto"/>
              <w:contextualSpacing/>
              <w:rPr>
                <w:rFonts w:ascii="Verdana" w:eastAsia="Times New Roman" w:hAnsi="Verdana" w:cs="Arial"/>
                <w:sz w:val="20"/>
                <w:szCs w:val="20"/>
                <w:lang w:eastAsia="en-GB"/>
              </w:rPr>
            </w:pPr>
            <w:r w:rsidRPr="00933B3E">
              <w:rPr>
                <w:rFonts w:ascii="Verdana" w:eastAsia="Times New Roman" w:hAnsi="Verdana" w:cs="Arial"/>
                <w:sz w:val="20"/>
                <w:szCs w:val="20"/>
                <w:lang w:eastAsia="en-GB"/>
              </w:rPr>
              <w:t>Total antibacterial items per 1,000 STAR-PUs</w:t>
            </w:r>
          </w:p>
        </w:tc>
        <w:tc>
          <w:tcPr>
            <w:tcW w:w="1555" w:type="pct"/>
            <w:tcBorders>
              <w:top w:val="single" w:sz="4" w:space="0" w:color="BFBFBF"/>
              <w:left w:val="single" w:sz="4" w:space="0" w:color="BFBFBF"/>
              <w:bottom w:val="single" w:sz="4" w:space="0" w:color="BFBFBF"/>
              <w:right w:val="single" w:sz="4" w:space="0" w:color="BFBFBF"/>
            </w:tcBorders>
            <w:vAlign w:val="center"/>
          </w:tcPr>
          <w:p w14:paraId="24CDD7CC" w14:textId="77777777" w:rsidR="00933B3E" w:rsidRPr="00933B3E" w:rsidRDefault="00933B3E" w:rsidP="0008434D">
            <w:pPr>
              <w:spacing w:after="0" w:line="240" w:lineRule="auto"/>
              <w:contextualSpacing/>
              <w:rPr>
                <w:rFonts w:ascii="Verdana" w:eastAsia="Times New Roman" w:hAnsi="Verdana" w:cs="Arial"/>
                <w:sz w:val="20"/>
                <w:szCs w:val="20"/>
                <w:lang w:eastAsia="en-GB"/>
              </w:rPr>
            </w:pPr>
            <w:r w:rsidRPr="00933B3E">
              <w:rPr>
                <w:rFonts w:ascii="Verdana" w:eastAsia="Times New Roman" w:hAnsi="Verdana" w:cs="Arial"/>
                <w:sz w:val="20"/>
                <w:szCs w:val="20"/>
                <w:lang w:eastAsia="en-GB"/>
              </w:rPr>
              <w:t>Health board target: a quarterly reduction of 5% against a baseline of April 2019–March 2020.</w:t>
            </w:r>
          </w:p>
          <w:p w14:paraId="07DC7B57" w14:textId="77777777" w:rsidR="00933B3E" w:rsidRPr="00933B3E" w:rsidRDefault="00933B3E" w:rsidP="0008434D">
            <w:pPr>
              <w:spacing w:after="0" w:line="240" w:lineRule="auto"/>
              <w:contextualSpacing/>
              <w:rPr>
                <w:rFonts w:ascii="Verdana" w:eastAsia="Times New Roman" w:hAnsi="Verdana" w:cs="Arial"/>
                <w:sz w:val="20"/>
                <w:szCs w:val="20"/>
                <w:lang w:eastAsia="en-GB"/>
              </w:rPr>
            </w:pPr>
            <w:r w:rsidRPr="00933B3E">
              <w:rPr>
                <w:rFonts w:ascii="Verdana" w:eastAsia="Times New Roman" w:hAnsi="Verdana" w:cs="Arial"/>
                <w:sz w:val="20"/>
                <w:szCs w:val="20"/>
                <w:lang w:eastAsia="en-GB"/>
              </w:rPr>
              <w:t>GP Practice target: Maintain performance levels within the lower quartile, or show a reduction towards the quartile below.</w:t>
            </w:r>
          </w:p>
        </w:tc>
      </w:tr>
      <w:tr w:rsidR="00933B3E" w:rsidRPr="00933B3E" w14:paraId="01FAD977" w14:textId="77777777" w:rsidTr="0008434D">
        <w:trPr>
          <w:cantSplit/>
          <w:trHeight w:val="20"/>
          <w:tblHeader/>
          <w:jc w:val="center"/>
        </w:trPr>
        <w:tc>
          <w:tcPr>
            <w:tcW w:w="1022" w:type="pct"/>
            <w:vMerge/>
            <w:tcBorders>
              <w:left w:val="single" w:sz="4" w:space="0" w:color="BFBFBF"/>
              <w:bottom w:val="single" w:sz="4" w:space="0" w:color="BFBFBF"/>
              <w:right w:val="single" w:sz="4" w:space="0" w:color="BFBFBF"/>
            </w:tcBorders>
            <w:shd w:val="clear" w:color="auto" w:fill="F4F4F4"/>
            <w:vAlign w:val="center"/>
          </w:tcPr>
          <w:p w14:paraId="7B46CB9C" w14:textId="77777777" w:rsidR="00933B3E" w:rsidRPr="00933B3E" w:rsidRDefault="00933B3E" w:rsidP="0008434D">
            <w:pPr>
              <w:spacing w:after="0" w:line="240" w:lineRule="auto"/>
              <w:contextualSpacing/>
              <w:rPr>
                <w:rFonts w:ascii="Verdana" w:eastAsia="Times New Roman" w:hAnsi="Verdana" w:cs="Arial"/>
                <w:b/>
                <w:sz w:val="20"/>
                <w:szCs w:val="20"/>
                <w:lang w:eastAsia="en-GB"/>
              </w:rPr>
            </w:pPr>
          </w:p>
        </w:tc>
        <w:tc>
          <w:tcPr>
            <w:tcW w:w="784" w:type="pct"/>
            <w:vMerge/>
            <w:tcBorders>
              <w:left w:val="single" w:sz="4" w:space="0" w:color="BFBFBF"/>
              <w:bottom w:val="single" w:sz="4" w:space="0" w:color="BFBFBF"/>
              <w:right w:val="single" w:sz="4" w:space="0" w:color="BFBFBF"/>
            </w:tcBorders>
            <w:vAlign w:val="center"/>
          </w:tcPr>
          <w:p w14:paraId="65FE26EA" w14:textId="77777777" w:rsidR="00933B3E" w:rsidRPr="00933B3E" w:rsidRDefault="00933B3E" w:rsidP="0008434D">
            <w:pPr>
              <w:spacing w:after="0" w:line="240" w:lineRule="auto"/>
              <w:contextualSpacing/>
              <w:rPr>
                <w:rFonts w:ascii="Verdana" w:eastAsia="Times New Roman" w:hAnsi="Verdana" w:cs="Arial"/>
                <w:sz w:val="20"/>
                <w:szCs w:val="20"/>
                <w:lang w:eastAsia="en-GB"/>
              </w:rPr>
            </w:pPr>
          </w:p>
        </w:tc>
        <w:tc>
          <w:tcPr>
            <w:tcW w:w="1639" w:type="pct"/>
            <w:tcBorders>
              <w:top w:val="single" w:sz="4" w:space="0" w:color="BFBFBF"/>
              <w:left w:val="single" w:sz="4" w:space="0" w:color="BFBFBF"/>
              <w:bottom w:val="single" w:sz="4" w:space="0" w:color="BFBFBF"/>
              <w:right w:val="single" w:sz="4" w:space="0" w:color="BFBFBF"/>
            </w:tcBorders>
            <w:vAlign w:val="center"/>
          </w:tcPr>
          <w:p w14:paraId="6227D9F7" w14:textId="77777777" w:rsidR="00933B3E" w:rsidRPr="00933B3E" w:rsidRDefault="00933B3E" w:rsidP="0008434D">
            <w:pPr>
              <w:spacing w:after="0" w:line="240" w:lineRule="auto"/>
              <w:contextualSpacing/>
              <w:rPr>
                <w:rFonts w:ascii="Verdana" w:eastAsia="Times New Roman" w:hAnsi="Verdana" w:cs="Arial"/>
                <w:sz w:val="20"/>
                <w:szCs w:val="20"/>
                <w:lang w:eastAsia="en-GB"/>
              </w:rPr>
            </w:pPr>
            <w:r w:rsidRPr="00933B3E">
              <w:rPr>
                <w:rFonts w:ascii="Verdana" w:eastAsia="Times New Roman" w:hAnsi="Verdana" w:cs="Arial"/>
                <w:sz w:val="20"/>
                <w:szCs w:val="20"/>
                <w:lang w:eastAsia="en-GB"/>
              </w:rPr>
              <w:t xml:space="preserve">Number of 4C antimicrobial (co-amoxiclav, cephalosporins, fluoroquinolones and clindamycin) items per 1,000 patients </w:t>
            </w:r>
          </w:p>
        </w:tc>
        <w:tc>
          <w:tcPr>
            <w:tcW w:w="1555" w:type="pct"/>
            <w:tcBorders>
              <w:top w:val="single" w:sz="4" w:space="0" w:color="BFBFBF"/>
              <w:left w:val="single" w:sz="4" w:space="0" w:color="BFBFBF"/>
              <w:bottom w:val="single" w:sz="4" w:space="0" w:color="BFBFBF"/>
              <w:right w:val="single" w:sz="4" w:space="0" w:color="BFBFBF"/>
            </w:tcBorders>
            <w:vAlign w:val="center"/>
          </w:tcPr>
          <w:p w14:paraId="2DE1B558" w14:textId="77777777" w:rsidR="00933B3E" w:rsidRPr="00933B3E" w:rsidRDefault="00933B3E" w:rsidP="0008434D">
            <w:pPr>
              <w:spacing w:after="0" w:line="240" w:lineRule="auto"/>
              <w:contextualSpacing/>
              <w:rPr>
                <w:rFonts w:ascii="Verdana" w:eastAsia="Times New Roman" w:hAnsi="Verdana" w:cs="Arial"/>
                <w:sz w:val="20"/>
                <w:szCs w:val="20"/>
                <w:lang w:eastAsia="en-GB"/>
              </w:rPr>
            </w:pPr>
            <w:r w:rsidRPr="00933B3E">
              <w:rPr>
                <w:rFonts w:ascii="Verdana" w:eastAsia="Times New Roman" w:hAnsi="Verdana" w:cs="Arial"/>
                <w:sz w:val="20"/>
                <w:szCs w:val="20"/>
                <w:lang w:eastAsia="en-GB"/>
              </w:rPr>
              <w:t>Health board target: A quarterly reduction of 10% against a baseline of April 2019–March 2020.</w:t>
            </w:r>
          </w:p>
          <w:p w14:paraId="46F6B7ED" w14:textId="77777777" w:rsidR="00933B3E" w:rsidRPr="00933B3E" w:rsidRDefault="00933B3E" w:rsidP="0008434D">
            <w:pPr>
              <w:spacing w:after="0" w:line="240" w:lineRule="auto"/>
              <w:contextualSpacing/>
              <w:rPr>
                <w:rFonts w:ascii="Verdana" w:eastAsia="Times New Roman" w:hAnsi="Verdana" w:cs="Arial"/>
                <w:sz w:val="20"/>
                <w:szCs w:val="20"/>
                <w:lang w:eastAsia="en-GB"/>
              </w:rPr>
            </w:pPr>
            <w:r w:rsidRPr="00933B3E">
              <w:rPr>
                <w:rFonts w:ascii="Verdana" w:eastAsia="Times New Roman" w:hAnsi="Verdana" w:cs="Arial"/>
                <w:sz w:val="20"/>
                <w:szCs w:val="20"/>
                <w:lang w:eastAsia="en-GB"/>
              </w:rPr>
              <w:t>GP Practice target: Maintain performance levels within the lower quartile, or show a reduction towards the quartile below.</w:t>
            </w:r>
          </w:p>
        </w:tc>
      </w:tr>
    </w:tbl>
    <w:p w14:paraId="63C6CE7C" w14:textId="77777777" w:rsidR="00933B3E" w:rsidRPr="00933B3E" w:rsidRDefault="00933B3E">
      <w:pPr>
        <w:rPr>
          <w:rFonts w:ascii="Verdana" w:hAnsi="Verdana"/>
          <w:sz w:val="24"/>
          <w:szCs w:val="24"/>
        </w:rPr>
      </w:pPr>
    </w:p>
    <w:sectPr w:rsidR="00933B3E" w:rsidRPr="00933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3E"/>
    <w:rsid w:val="00566A0B"/>
    <w:rsid w:val="00933B3E"/>
    <w:rsid w:val="00CB3111"/>
    <w:rsid w:val="00FB2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2068"/>
  <w15:chartTrackingRefBased/>
  <w15:docId w15:val="{228D74A2-AEAE-4B7E-93A1-45B28219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B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B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Davies (HEIW)</dc:creator>
  <cp:keywords/>
  <dc:description/>
  <cp:lastModifiedBy>Melanie Davies (HEIW)</cp:lastModifiedBy>
  <cp:revision>3</cp:revision>
  <dcterms:created xsi:type="dcterms:W3CDTF">2021-09-10T10:59:00Z</dcterms:created>
  <dcterms:modified xsi:type="dcterms:W3CDTF">2021-09-10T12:38:00Z</dcterms:modified>
</cp:coreProperties>
</file>