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A26DA" w14:textId="03C0A604" w:rsidR="00FB2B5B" w:rsidRDefault="007A2B9A">
      <w:pPr>
        <w:rPr>
          <w:rFonts w:ascii="Verdana" w:hAnsi="Verdana" w:cs="Calibri Light"/>
          <w:sz w:val="24"/>
          <w:szCs w:val="24"/>
        </w:rPr>
      </w:pPr>
      <w:r w:rsidRPr="007A2B9A">
        <w:rPr>
          <w:rFonts w:ascii="Verdana" w:hAnsi="Verdana" w:cs="Calibri Light"/>
          <w:sz w:val="24"/>
          <w:szCs w:val="24"/>
        </w:rPr>
        <w:t>Table summarising the indicators that are grouped in the priority area of ‘</w:t>
      </w:r>
      <w:r w:rsidRPr="007A2B9A">
        <w:rPr>
          <w:rFonts w:ascii="Verdana" w:hAnsi="Verdana" w:cs="Calibri Light"/>
          <w:sz w:val="24"/>
          <w:szCs w:val="24"/>
        </w:rPr>
        <w:t>Efficiency</w:t>
      </w:r>
      <w:r w:rsidRPr="007A2B9A">
        <w:rPr>
          <w:rFonts w:ascii="Verdana" w:hAnsi="Verdana" w:cs="Calibri Light"/>
          <w:sz w:val="24"/>
          <w:szCs w:val="24"/>
        </w:rPr>
        <w:t>’; including whether they apply to primary or secondary care, the units being used to measure each, and what the overall target is for GP practices and health boards in NHS Wales for 2021 to 2022</w:t>
      </w:r>
    </w:p>
    <w:p w14:paraId="654DDE32" w14:textId="775208DD" w:rsidR="00090B24" w:rsidRDefault="00090B24">
      <w:pPr>
        <w:rPr>
          <w:rFonts w:ascii="Verdana" w:hAnsi="Verdana" w:cs="Calibri Light"/>
          <w:sz w:val="24"/>
          <w:szCs w:val="24"/>
        </w:rPr>
      </w:pP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Caption w:val="Table summarising the indicators that are grouped in the priority area of Efficiency"/>
        <w:tblDescription w:val="Table summarising the indicators that are grouped in the priority area of ‘Efficiency’; including whether they apply to primary or secondary care, the units being used to measure each, and what the overall target is for GP practices and health boards in NHS Wales for 2021 to 2022’"/>
      </w:tblPr>
      <w:tblGrid>
        <w:gridCol w:w="1611"/>
        <w:gridCol w:w="1380"/>
        <w:gridCol w:w="2128"/>
        <w:gridCol w:w="2956"/>
      </w:tblGrid>
      <w:tr w:rsidR="0087350D" w:rsidRPr="0087350D" w14:paraId="711F33FA" w14:textId="77777777" w:rsidTr="00D9185B">
        <w:trPr>
          <w:cantSplit/>
          <w:tblHeader/>
          <w:jc w:val="center"/>
        </w:trPr>
        <w:tc>
          <w:tcPr>
            <w:tcW w:w="1004"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0B5CB2E2" w14:textId="77777777" w:rsidR="00090B24" w:rsidRPr="0087350D" w:rsidRDefault="00090B24" w:rsidP="0087350D">
            <w:pPr>
              <w:pStyle w:val="Heading1"/>
              <w:rPr>
                <w:rFonts w:ascii="Verdana" w:hAnsi="Verdana"/>
                <w:b/>
                <w:bCs/>
                <w:i/>
                <w:color w:val="FFFFFF" w:themeColor="background1"/>
                <w:sz w:val="20"/>
                <w:szCs w:val="20"/>
              </w:rPr>
            </w:pPr>
            <w:r w:rsidRPr="0087350D">
              <w:rPr>
                <w:rFonts w:ascii="Verdana" w:hAnsi="Verdana"/>
                <w:b/>
                <w:bCs/>
                <w:color w:val="FFFFFF" w:themeColor="background1"/>
                <w:sz w:val="20"/>
                <w:szCs w:val="20"/>
              </w:rPr>
              <w:t>National Prescribing Indicator</w:t>
            </w:r>
          </w:p>
        </w:tc>
        <w:tc>
          <w:tcPr>
            <w:tcW w:w="836"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7E4746E3" w14:textId="77777777" w:rsidR="00090B24" w:rsidRPr="0087350D" w:rsidRDefault="00090B24" w:rsidP="0087350D">
            <w:pPr>
              <w:pStyle w:val="Heading1"/>
              <w:rPr>
                <w:rFonts w:ascii="Verdana" w:hAnsi="Verdana"/>
                <w:b/>
                <w:bCs/>
                <w:i/>
                <w:color w:val="FFFFFF" w:themeColor="background1"/>
                <w:sz w:val="20"/>
                <w:szCs w:val="20"/>
              </w:rPr>
            </w:pPr>
            <w:r w:rsidRPr="0087350D">
              <w:rPr>
                <w:rFonts w:ascii="Verdana" w:hAnsi="Verdana"/>
                <w:b/>
                <w:bCs/>
                <w:color w:val="FFFFFF" w:themeColor="background1"/>
                <w:sz w:val="20"/>
                <w:szCs w:val="20"/>
              </w:rPr>
              <w:t>Applicable to:</w:t>
            </w:r>
          </w:p>
        </w:tc>
        <w:tc>
          <w:tcPr>
            <w:tcW w:w="1324"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0F777AEA" w14:textId="77777777" w:rsidR="00090B24" w:rsidRPr="0087350D" w:rsidRDefault="00090B24" w:rsidP="0087350D">
            <w:pPr>
              <w:pStyle w:val="Heading1"/>
              <w:rPr>
                <w:rFonts w:ascii="Verdana" w:hAnsi="Verdana"/>
                <w:b/>
                <w:bCs/>
                <w:i/>
                <w:color w:val="FFFFFF" w:themeColor="background1"/>
                <w:sz w:val="20"/>
                <w:szCs w:val="20"/>
              </w:rPr>
            </w:pPr>
            <w:r w:rsidRPr="0087350D">
              <w:rPr>
                <w:rFonts w:ascii="Verdana" w:hAnsi="Verdana"/>
                <w:b/>
                <w:bCs/>
                <w:color w:val="FFFFFF" w:themeColor="background1"/>
                <w:sz w:val="20"/>
                <w:szCs w:val="20"/>
              </w:rPr>
              <w:t>Unit of measure</w:t>
            </w:r>
          </w:p>
        </w:tc>
        <w:tc>
          <w:tcPr>
            <w:tcW w:w="1836"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75B30DA4" w14:textId="77777777" w:rsidR="00090B24" w:rsidRPr="0087350D" w:rsidRDefault="00090B24" w:rsidP="0087350D">
            <w:pPr>
              <w:pStyle w:val="Heading1"/>
              <w:rPr>
                <w:rFonts w:ascii="Verdana" w:hAnsi="Verdana"/>
                <w:b/>
                <w:bCs/>
                <w:i/>
                <w:color w:val="FFFFFF" w:themeColor="background1"/>
                <w:sz w:val="20"/>
                <w:szCs w:val="20"/>
              </w:rPr>
            </w:pPr>
            <w:r w:rsidRPr="0087350D">
              <w:rPr>
                <w:rFonts w:ascii="Verdana" w:hAnsi="Verdana"/>
                <w:b/>
                <w:bCs/>
                <w:color w:val="FFFFFF" w:themeColor="background1"/>
                <w:sz w:val="20"/>
                <w:szCs w:val="20"/>
              </w:rPr>
              <w:t>Target for 2020–2021</w:t>
            </w:r>
          </w:p>
        </w:tc>
      </w:tr>
      <w:tr w:rsidR="00090B24" w:rsidRPr="0087350D" w14:paraId="5F44942B" w14:textId="77777777" w:rsidTr="00D9185B">
        <w:trPr>
          <w:cantSplit/>
          <w:trHeight w:val="227"/>
          <w:tblHeader/>
          <w:jc w:val="center"/>
        </w:trPr>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5519F122" w14:textId="77777777" w:rsidR="00090B24" w:rsidRPr="0087350D" w:rsidRDefault="00090B24" w:rsidP="00D9185B">
            <w:pPr>
              <w:contextualSpacing/>
              <w:rPr>
                <w:rFonts w:ascii="Verdana" w:hAnsi="Verdana" w:cs="Arial"/>
                <w:sz w:val="20"/>
                <w:szCs w:val="20"/>
              </w:rPr>
            </w:pPr>
            <w:r w:rsidRPr="0087350D">
              <w:rPr>
                <w:rFonts w:ascii="Verdana" w:hAnsi="Verdana" w:cs="Arial"/>
                <w:b/>
                <w:sz w:val="20"/>
                <w:szCs w:val="20"/>
              </w:rPr>
              <w:t xml:space="preserve">Supporting Domain: Efficiency </w:t>
            </w:r>
          </w:p>
        </w:tc>
      </w:tr>
      <w:tr w:rsidR="00090B24" w:rsidRPr="0087350D" w14:paraId="7154DF3E" w14:textId="77777777" w:rsidTr="00D9185B">
        <w:trPr>
          <w:cantSplit/>
          <w:trHeight w:val="283"/>
          <w:tblHeader/>
          <w:jc w:val="center"/>
        </w:trPr>
        <w:tc>
          <w:tcPr>
            <w:tcW w:w="10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4F4F4"/>
            <w:vAlign w:val="center"/>
          </w:tcPr>
          <w:p w14:paraId="64F52842" w14:textId="77777777" w:rsidR="00090B24" w:rsidRPr="0087350D" w:rsidRDefault="00090B24" w:rsidP="00D9185B">
            <w:pPr>
              <w:ind w:right="-109"/>
              <w:contextualSpacing/>
              <w:rPr>
                <w:rFonts w:ascii="Verdana" w:hAnsi="Verdana" w:cs="Arial"/>
                <w:b/>
                <w:sz w:val="20"/>
                <w:szCs w:val="20"/>
              </w:rPr>
            </w:pPr>
            <w:r w:rsidRPr="0087350D">
              <w:rPr>
                <w:rFonts w:ascii="Verdana" w:hAnsi="Verdana" w:cs="Arial"/>
                <w:b/>
                <w:sz w:val="20"/>
                <w:szCs w:val="20"/>
              </w:rPr>
              <w:t>Best value biological medicines</w:t>
            </w:r>
          </w:p>
        </w:tc>
        <w:tc>
          <w:tcPr>
            <w:tcW w:w="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1668BC" w14:textId="77777777" w:rsidR="00090B24" w:rsidRPr="0087350D" w:rsidRDefault="00090B24" w:rsidP="00D9185B">
            <w:pPr>
              <w:contextualSpacing/>
              <w:rPr>
                <w:rFonts w:ascii="Verdana" w:hAnsi="Verdana" w:cs="Arial"/>
                <w:sz w:val="20"/>
                <w:szCs w:val="20"/>
              </w:rPr>
            </w:pPr>
            <w:r w:rsidRPr="0087350D">
              <w:rPr>
                <w:rFonts w:ascii="Verdana" w:hAnsi="Verdana" w:cs="Arial"/>
                <w:sz w:val="20"/>
                <w:szCs w:val="20"/>
              </w:rPr>
              <w:t>Primary + secondary care</w:t>
            </w:r>
          </w:p>
        </w:tc>
        <w:tc>
          <w:tcPr>
            <w:tcW w:w="1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BCB854" w14:textId="77777777" w:rsidR="00090B24" w:rsidRPr="0087350D" w:rsidRDefault="00090B24" w:rsidP="00D9185B">
            <w:pPr>
              <w:contextualSpacing/>
              <w:rPr>
                <w:rFonts w:ascii="Verdana" w:hAnsi="Verdana" w:cs="Arial"/>
                <w:sz w:val="20"/>
                <w:szCs w:val="20"/>
              </w:rPr>
            </w:pPr>
            <w:r w:rsidRPr="0087350D">
              <w:rPr>
                <w:rFonts w:ascii="Verdana" w:hAnsi="Verdana" w:cs="Arial"/>
                <w:sz w:val="20"/>
                <w:szCs w:val="20"/>
              </w:rPr>
              <w:t>Quantity of best value biological medicines prescribed as a percentage of total ‘biosimilar’ plus ‘reference’ product.</w:t>
            </w:r>
          </w:p>
        </w:tc>
        <w:tc>
          <w:tcPr>
            <w:tcW w:w="1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F86C05" w14:textId="77777777" w:rsidR="00090B24" w:rsidRPr="0087350D" w:rsidRDefault="00090B24" w:rsidP="00D9185B">
            <w:pPr>
              <w:contextualSpacing/>
              <w:rPr>
                <w:rFonts w:ascii="Verdana" w:hAnsi="Verdana" w:cs="Arial"/>
                <w:sz w:val="20"/>
                <w:szCs w:val="20"/>
              </w:rPr>
            </w:pPr>
            <w:r w:rsidRPr="0087350D">
              <w:rPr>
                <w:rFonts w:ascii="Verdana" w:hAnsi="Verdana" w:cs="Arial"/>
                <w:sz w:val="20"/>
                <w:szCs w:val="20"/>
              </w:rPr>
              <w:t>Increase the appropriate use of cost-efficient biological medicines, including biosimilar medicines</w:t>
            </w:r>
          </w:p>
        </w:tc>
      </w:tr>
      <w:tr w:rsidR="00090B24" w:rsidRPr="0087350D" w14:paraId="2FB7360B" w14:textId="77777777" w:rsidTr="00D9185B">
        <w:trPr>
          <w:cantSplit/>
          <w:trHeight w:val="283"/>
          <w:tblHeader/>
          <w:jc w:val="center"/>
        </w:trPr>
        <w:tc>
          <w:tcPr>
            <w:tcW w:w="10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4F4F4"/>
            <w:vAlign w:val="center"/>
          </w:tcPr>
          <w:p w14:paraId="60054F26" w14:textId="77777777" w:rsidR="00090B24" w:rsidRPr="0087350D" w:rsidRDefault="00090B24" w:rsidP="00D9185B">
            <w:pPr>
              <w:ind w:right="-109"/>
              <w:contextualSpacing/>
              <w:rPr>
                <w:rFonts w:ascii="Verdana" w:hAnsi="Verdana" w:cs="Arial"/>
                <w:b/>
                <w:sz w:val="20"/>
                <w:szCs w:val="20"/>
              </w:rPr>
            </w:pPr>
            <w:r w:rsidRPr="0087350D">
              <w:rPr>
                <w:rFonts w:ascii="Verdana" w:hAnsi="Verdana" w:cs="Arial"/>
                <w:b/>
                <w:sz w:val="20"/>
                <w:szCs w:val="20"/>
              </w:rPr>
              <w:t>Insulin</w:t>
            </w:r>
          </w:p>
        </w:tc>
        <w:tc>
          <w:tcPr>
            <w:tcW w:w="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BA47EF" w14:textId="77777777" w:rsidR="00090B24" w:rsidRPr="0087350D" w:rsidRDefault="00090B24" w:rsidP="00D9185B">
            <w:pPr>
              <w:contextualSpacing/>
              <w:rPr>
                <w:rFonts w:ascii="Verdana" w:hAnsi="Verdana" w:cs="Arial"/>
                <w:sz w:val="20"/>
                <w:szCs w:val="20"/>
              </w:rPr>
            </w:pPr>
            <w:r w:rsidRPr="0087350D">
              <w:rPr>
                <w:rFonts w:ascii="Verdana" w:hAnsi="Verdana" w:cs="Arial"/>
                <w:sz w:val="20"/>
                <w:szCs w:val="20"/>
              </w:rPr>
              <w:t>Primary + secondary care</w:t>
            </w:r>
          </w:p>
        </w:tc>
        <w:tc>
          <w:tcPr>
            <w:tcW w:w="1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68193" w14:textId="77777777" w:rsidR="00090B24" w:rsidRPr="0087350D" w:rsidRDefault="00090B24" w:rsidP="00D9185B">
            <w:pPr>
              <w:contextualSpacing/>
              <w:rPr>
                <w:rFonts w:ascii="Verdana" w:hAnsi="Verdana" w:cs="Arial"/>
                <w:sz w:val="20"/>
                <w:szCs w:val="20"/>
              </w:rPr>
            </w:pPr>
            <w:r w:rsidRPr="0087350D">
              <w:rPr>
                <w:rFonts w:ascii="Verdana" w:hAnsi="Verdana" w:cs="Arial"/>
                <w:sz w:val="20"/>
                <w:szCs w:val="20"/>
              </w:rPr>
              <w:t>Items/number of long-acting insulin analogues as a percentage of total long- and intermediate-acting insulin prescribed</w:t>
            </w:r>
          </w:p>
        </w:tc>
        <w:tc>
          <w:tcPr>
            <w:tcW w:w="1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85D7DE" w14:textId="77777777" w:rsidR="00090B24" w:rsidRPr="0087350D" w:rsidRDefault="00090B24" w:rsidP="00D9185B">
            <w:pPr>
              <w:contextualSpacing/>
              <w:rPr>
                <w:rFonts w:ascii="Verdana" w:hAnsi="Verdana" w:cs="Arial"/>
                <w:sz w:val="20"/>
                <w:szCs w:val="20"/>
              </w:rPr>
            </w:pPr>
            <w:r w:rsidRPr="0087350D">
              <w:rPr>
                <w:rFonts w:ascii="Verdana" w:hAnsi="Verdana" w:cs="Arial"/>
                <w:sz w:val="20"/>
                <w:szCs w:val="20"/>
              </w:rPr>
              <w:t>Reduce prescribing of long-acting insulin analogues and achieve prescribing levels below the Welsh average</w:t>
            </w:r>
          </w:p>
        </w:tc>
      </w:tr>
      <w:tr w:rsidR="00090B24" w:rsidRPr="0087350D" w14:paraId="65C9F407" w14:textId="77777777" w:rsidTr="00D9185B">
        <w:trPr>
          <w:cantSplit/>
          <w:trHeight w:val="283"/>
          <w:tblHeader/>
          <w:jc w:val="center"/>
        </w:trPr>
        <w:tc>
          <w:tcPr>
            <w:tcW w:w="10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4F4F4"/>
            <w:vAlign w:val="center"/>
          </w:tcPr>
          <w:p w14:paraId="22A10808" w14:textId="77777777" w:rsidR="00090B24" w:rsidRPr="0087350D" w:rsidRDefault="00090B24" w:rsidP="00D9185B">
            <w:pPr>
              <w:ind w:right="-109"/>
              <w:contextualSpacing/>
              <w:rPr>
                <w:rFonts w:ascii="Verdana" w:hAnsi="Verdana" w:cs="Arial"/>
                <w:b/>
                <w:sz w:val="20"/>
                <w:szCs w:val="20"/>
              </w:rPr>
            </w:pPr>
            <w:r w:rsidRPr="0087350D">
              <w:rPr>
                <w:rFonts w:ascii="Verdana" w:hAnsi="Verdana" w:cs="Arial"/>
                <w:b/>
                <w:sz w:val="20"/>
                <w:szCs w:val="20"/>
              </w:rPr>
              <w:t xml:space="preserve">Low value for prescribing </w:t>
            </w:r>
          </w:p>
        </w:tc>
        <w:tc>
          <w:tcPr>
            <w:tcW w:w="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BDF20D" w14:textId="77777777" w:rsidR="00090B24" w:rsidRPr="0087350D" w:rsidRDefault="00090B24" w:rsidP="00D9185B">
            <w:pPr>
              <w:contextualSpacing/>
              <w:rPr>
                <w:rFonts w:ascii="Verdana" w:hAnsi="Verdana" w:cs="Arial"/>
                <w:sz w:val="20"/>
                <w:szCs w:val="20"/>
              </w:rPr>
            </w:pPr>
            <w:r w:rsidRPr="0087350D">
              <w:rPr>
                <w:rFonts w:ascii="Verdana" w:hAnsi="Verdana" w:cs="Arial"/>
                <w:sz w:val="20"/>
                <w:szCs w:val="20"/>
              </w:rPr>
              <w:t>Primary care</w:t>
            </w:r>
          </w:p>
        </w:tc>
        <w:tc>
          <w:tcPr>
            <w:tcW w:w="1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FB99B8" w14:textId="77777777" w:rsidR="00090B24" w:rsidRPr="0087350D" w:rsidRDefault="00090B24" w:rsidP="00D9185B">
            <w:pPr>
              <w:contextualSpacing/>
              <w:rPr>
                <w:rFonts w:ascii="Verdana" w:hAnsi="Verdana" w:cs="Arial"/>
                <w:sz w:val="20"/>
                <w:szCs w:val="20"/>
              </w:rPr>
            </w:pPr>
            <w:r w:rsidRPr="0087350D">
              <w:rPr>
                <w:rFonts w:ascii="Verdana" w:hAnsi="Verdana" w:cs="Arial"/>
                <w:sz w:val="20"/>
                <w:szCs w:val="20"/>
              </w:rPr>
              <w:t>Low value for prescribing UDG spend per 1,000 patients</w:t>
            </w:r>
          </w:p>
        </w:tc>
        <w:tc>
          <w:tcPr>
            <w:tcW w:w="1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44D5C6" w14:textId="77777777" w:rsidR="00090B24" w:rsidRPr="0087350D" w:rsidRDefault="00090B24" w:rsidP="00D9185B">
            <w:pPr>
              <w:contextualSpacing/>
              <w:rPr>
                <w:rFonts w:ascii="Verdana" w:hAnsi="Verdana" w:cs="Arial"/>
                <w:sz w:val="20"/>
                <w:szCs w:val="20"/>
              </w:rPr>
            </w:pPr>
            <w:r w:rsidRPr="0087350D">
              <w:rPr>
                <w:rFonts w:ascii="Verdana" w:hAnsi="Verdana" w:cs="Arial"/>
                <w:sz w:val="20"/>
                <w:szCs w:val="20"/>
              </w:rPr>
              <w:t>Maintain performance levels within the lower quartile or show a reduction towards the quartile below</w:t>
            </w:r>
          </w:p>
        </w:tc>
      </w:tr>
    </w:tbl>
    <w:p w14:paraId="212B0B49" w14:textId="77777777" w:rsidR="00090B24" w:rsidRPr="007A2B9A" w:rsidRDefault="00090B24">
      <w:pPr>
        <w:rPr>
          <w:rFonts w:ascii="Verdana" w:hAnsi="Verdana"/>
          <w:sz w:val="24"/>
          <w:szCs w:val="24"/>
        </w:rPr>
      </w:pPr>
    </w:p>
    <w:sectPr w:rsidR="00090B24" w:rsidRPr="007A2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9A"/>
    <w:rsid w:val="00090B24"/>
    <w:rsid w:val="007A2B9A"/>
    <w:rsid w:val="0087350D"/>
    <w:rsid w:val="00893C93"/>
    <w:rsid w:val="00FB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7B62"/>
  <w15:chartTrackingRefBased/>
  <w15:docId w15:val="{181AA5BE-4A09-4EF9-993C-0371F10F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uiPriority w:val="9"/>
    <w:semiHidden/>
    <w:unhideWhenUsed/>
    <w:qFormat/>
    <w:rsid w:val="00090B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090B24"/>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8735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Melanie Davies (HEIW)</cp:lastModifiedBy>
  <cp:revision>4</cp:revision>
  <dcterms:created xsi:type="dcterms:W3CDTF">2021-09-16T09:53:00Z</dcterms:created>
  <dcterms:modified xsi:type="dcterms:W3CDTF">2021-09-16T10:03:00Z</dcterms:modified>
</cp:coreProperties>
</file>