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29B8" w14:textId="054D0A1A" w:rsidR="000F1AAF" w:rsidRDefault="00CD05FD">
      <w:pPr>
        <w:rPr>
          <w:rFonts w:ascii="Verdana" w:hAnsi="Verdana" w:cs="Calibri Light"/>
          <w:color w:val="000000" w:themeColor="text1"/>
          <w:sz w:val="24"/>
          <w:szCs w:val="24"/>
        </w:rPr>
      </w:pPr>
      <w:r w:rsidRPr="000F1AAF">
        <w:rPr>
          <w:rFonts w:ascii="Verdana" w:hAnsi="Verdana" w:cs="Calibri Light"/>
          <w:color w:val="000000" w:themeColor="text1"/>
          <w:sz w:val="24"/>
          <w:szCs w:val="24"/>
        </w:rPr>
        <w:t>Table summarising the indicators that are grouped in the priority area of ‘</w:t>
      </w:r>
      <w:r w:rsidR="00941775">
        <w:rPr>
          <w:rFonts w:ascii="Verdana" w:hAnsi="Verdana" w:cs="Calibri Light"/>
          <w:color w:val="000000" w:themeColor="text1"/>
          <w:sz w:val="24"/>
          <w:szCs w:val="24"/>
        </w:rPr>
        <w:t>a</w:t>
      </w:r>
      <w:r w:rsidRPr="000F1AAF">
        <w:rPr>
          <w:rFonts w:ascii="Verdana" w:hAnsi="Verdana"/>
          <w:color w:val="000000" w:themeColor="text1"/>
          <w:sz w:val="24"/>
          <w:szCs w:val="24"/>
        </w:rPr>
        <w:t>nticoagulants in atrial fibrillation’</w:t>
      </w:r>
      <w:r w:rsidRPr="000F1AAF">
        <w:rPr>
          <w:rFonts w:ascii="Verdana" w:hAnsi="Verdana" w:cs="Calibri Light"/>
          <w:color w:val="000000" w:themeColor="text1"/>
          <w:sz w:val="24"/>
          <w:szCs w:val="24"/>
        </w:rPr>
        <w:t>; including whether they apply to primary or secondary care, the units being used to measure each, and what the overall target is for GP practices and health boards in NHS Wales for 2021 to 2022</w:t>
      </w:r>
    </w:p>
    <w:p w14:paraId="0ECAD60B" w14:textId="77777777" w:rsidR="00493999" w:rsidRPr="000F1AAF" w:rsidRDefault="00493999">
      <w:pPr>
        <w:rPr>
          <w:rFonts w:ascii="Verdana" w:hAnsi="Verdana" w:cs="Calibri Light"/>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8" w:type="dxa"/>
          <w:bottom w:w="28" w:type="dxa"/>
          <w:right w:w="68" w:type="dxa"/>
        </w:tblCellMar>
        <w:tblLook w:val="0000" w:firstRow="0" w:lastRow="0" w:firstColumn="0" w:lastColumn="0" w:noHBand="0" w:noVBand="0"/>
        <w:tblCaption w:val="Table summarising the indicators that are grouped in the priority area of anticoagulants in atrial fibrillation"/>
        <w:tblDescription w:val="Table summarising the indicators that are grouped in the priority area of ‘anticoagulants in atrial fibrillation’; including whether they apply to primary or secondary care, the units being used to measure each, and what the overall target is for GP practices and health boards in NHS Wales for 2021 to 2022"/>
      </w:tblPr>
      <w:tblGrid>
        <w:gridCol w:w="2219"/>
        <w:gridCol w:w="1394"/>
        <w:gridCol w:w="2678"/>
        <w:gridCol w:w="2725"/>
      </w:tblGrid>
      <w:tr w:rsidR="000F1AAF" w:rsidRPr="000219F4" w14:paraId="61B705DA" w14:textId="77777777" w:rsidTr="000F1AAF">
        <w:trPr>
          <w:cantSplit/>
          <w:trHeight w:val="20"/>
          <w:tblHeader/>
          <w:jc w:val="center"/>
        </w:trPr>
        <w:tc>
          <w:tcPr>
            <w:tcW w:w="1231"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0DB7C1C5" w14:textId="77777777" w:rsidR="000F1AAF" w:rsidRPr="000219F4" w:rsidRDefault="000F1AAF" w:rsidP="00A51607">
            <w:pPr>
              <w:pStyle w:val="Heading1"/>
              <w:jc w:val="center"/>
              <w:rPr>
                <w:rFonts w:ascii="Verdana" w:hAnsi="Verdana"/>
                <w:b/>
                <w:bCs/>
                <w:i/>
                <w:color w:val="FFFFFF" w:themeColor="background1"/>
                <w:sz w:val="20"/>
                <w:szCs w:val="20"/>
              </w:rPr>
            </w:pPr>
            <w:r w:rsidRPr="000219F4">
              <w:rPr>
                <w:rFonts w:ascii="Verdana" w:hAnsi="Verdana"/>
                <w:b/>
                <w:bCs/>
                <w:color w:val="FFFFFF" w:themeColor="background1"/>
                <w:sz w:val="20"/>
                <w:szCs w:val="20"/>
              </w:rPr>
              <w:t>National Prescribing Indicator</w:t>
            </w:r>
          </w:p>
        </w:tc>
        <w:tc>
          <w:tcPr>
            <w:tcW w:w="773"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5D91519F" w14:textId="77777777" w:rsidR="000F1AAF" w:rsidRPr="000219F4" w:rsidRDefault="000F1AAF" w:rsidP="00A51607">
            <w:pPr>
              <w:pStyle w:val="Heading1"/>
              <w:jc w:val="center"/>
              <w:rPr>
                <w:rFonts w:ascii="Verdana" w:hAnsi="Verdana"/>
                <w:b/>
                <w:bCs/>
                <w:i/>
                <w:color w:val="FFFFFF" w:themeColor="background1"/>
                <w:sz w:val="20"/>
                <w:szCs w:val="20"/>
              </w:rPr>
            </w:pPr>
            <w:r w:rsidRPr="000219F4">
              <w:rPr>
                <w:rFonts w:ascii="Verdana" w:hAnsi="Verdana"/>
                <w:b/>
                <w:bCs/>
                <w:color w:val="FFFFFF" w:themeColor="background1"/>
                <w:sz w:val="20"/>
                <w:szCs w:val="20"/>
              </w:rPr>
              <w:t>Applicable to:</w:t>
            </w:r>
          </w:p>
        </w:tc>
        <w:tc>
          <w:tcPr>
            <w:tcW w:w="1485"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2AF51D4D" w14:textId="77777777" w:rsidR="000F1AAF" w:rsidRPr="000219F4" w:rsidRDefault="000F1AAF" w:rsidP="00A51607">
            <w:pPr>
              <w:pStyle w:val="Heading1"/>
              <w:jc w:val="center"/>
              <w:rPr>
                <w:rFonts w:ascii="Verdana" w:hAnsi="Verdana"/>
                <w:b/>
                <w:bCs/>
                <w:i/>
                <w:color w:val="FFFFFF" w:themeColor="background1"/>
                <w:sz w:val="20"/>
                <w:szCs w:val="20"/>
              </w:rPr>
            </w:pPr>
            <w:r w:rsidRPr="000219F4">
              <w:rPr>
                <w:rFonts w:ascii="Verdana" w:hAnsi="Verdana"/>
                <w:b/>
                <w:bCs/>
                <w:color w:val="FFFFFF" w:themeColor="background1"/>
                <w:sz w:val="20"/>
                <w:szCs w:val="20"/>
              </w:rPr>
              <w:t>Unit of measure</w:t>
            </w:r>
          </w:p>
        </w:tc>
        <w:tc>
          <w:tcPr>
            <w:tcW w:w="1511"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1871D2F7" w14:textId="77777777" w:rsidR="000F1AAF" w:rsidRPr="000219F4" w:rsidRDefault="000F1AAF" w:rsidP="00A51607">
            <w:pPr>
              <w:pStyle w:val="Heading1"/>
              <w:jc w:val="center"/>
              <w:rPr>
                <w:rFonts w:ascii="Verdana" w:hAnsi="Verdana"/>
                <w:b/>
                <w:bCs/>
                <w:i/>
                <w:color w:val="FFFFFF" w:themeColor="background1"/>
                <w:sz w:val="20"/>
                <w:szCs w:val="20"/>
              </w:rPr>
            </w:pPr>
            <w:r w:rsidRPr="000219F4">
              <w:rPr>
                <w:rFonts w:ascii="Verdana" w:hAnsi="Verdana"/>
                <w:b/>
                <w:bCs/>
                <w:color w:val="FFFFFF" w:themeColor="background1"/>
                <w:sz w:val="20"/>
                <w:szCs w:val="20"/>
              </w:rPr>
              <w:t>Target for 2021–2022</w:t>
            </w:r>
          </w:p>
        </w:tc>
      </w:tr>
      <w:tr w:rsidR="000F1AAF" w:rsidRPr="000F1AAF" w14:paraId="4F0145B5" w14:textId="77777777" w:rsidTr="000F1AAF">
        <w:trPr>
          <w:cantSplit/>
          <w:trHeight w:val="20"/>
          <w:tblHeader/>
          <w:jc w:val="center"/>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D8DFF4"/>
            <w:vAlign w:val="center"/>
          </w:tcPr>
          <w:p w14:paraId="456857E8" w14:textId="77777777" w:rsidR="000F1AAF" w:rsidRPr="000F1AAF" w:rsidRDefault="000F1AAF" w:rsidP="0008434D">
            <w:pPr>
              <w:contextualSpacing/>
              <w:rPr>
                <w:rFonts w:ascii="Verdana" w:hAnsi="Verdana" w:cs="Arial"/>
                <w:b/>
                <w:sz w:val="20"/>
                <w:szCs w:val="20"/>
              </w:rPr>
            </w:pPr>
            <w:r w:rsidRPr="000F1AAF">
              <w:rPr>
                <w:rFonts w:ascii="Verdana" w:hAnsi="Verdana" w:cs="Arial"/>
                <w:b/>
                <w:sz w:val="20"/>
                <w:szCs w:val="20"/>
              </w:rPr>
              <w:t>Priority area</w:t>
            </w:r>
          </w:p>
        </w:tc>
      </w:tr>
      <w:tr w:rsidR="000F1AAF" w:rsidRPr="000F1AAF" w14:paraId="0AE4ECE1" w14:textId="77777777" w:rsidTr="000F1AAF">
        <w:trPr>
          <w:cantSplit/>
          <w:trHeight w:val="20"/>
          <w:tblHeader/>
          <w:jc w:val="center"/>
        </w:trPr>
        <w:tc>
          <w:tcPr>
            <w:tcW w:w="1231" w:type="pct"/>
            <w:vMerge w:val="restar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4F4F4"/>
            <w:vAlign w:val="center"/>
          </w:tcPr>
          <w:p w14:paraId="7EDC1634" w14:textId="77777777" w:rsidR="000F1AAF" w:rsidRPr="000F1AAF" w:rsidRDefault="000F1AAF" w:rsidP="0008434D">
            <w:pPr>
              <w:spacing w:after="0"/>
              <w:contextualSpacing/>
              <w:rPr>
                <w:rFonts w:ascii="Verdana" w:hAnsi="Verdana" w:cs="Arial"/>
                <w:b/>
                <w:sz w:val="20"/>
                <w:szCs w:val="20"/>
              </w:rPr>
            </w:pPr>
            <w:r w:rsidRPr="000F1AAF">
              <w:rPr>
                <w:rFonts w:ascii="Verdana" w:hAnsi="Verdana" w:cs="Arial"/>
                <w:b/>
                <w:sz w:val="20"/>
                <w:szCs w:val="20"/>
              </w:rPr>
              <w:t xml:space="preserve">Anticoagulants in atrial fibrillation </w:t>
            </w:r>
          </w:p>
        </w:tc>
        <w:tc>
          <w:tcPr>
            <w:tcW w:w="773" w:type="pct"/>
            <w:vMerge w:val="restart"/>
            <w:tcBorders>
              <w:top w:val="single" w:sz="4" w:space="0" w:color="BFBFBF" w:themeColor="background1" w:themeShade="BF"/>
              <w:left w:val="single" w:sz="4" w:space="0" w:color="BFBFBF"/>
              <w:bottom w:val="single" w:sz="4" w:space="0" w:color="BFBFBF" w:themeColor="background1" w:themeShade="BF"/>
              <w:right w:val="single" w:sz="4" w:space="0" w:color="BFBFBF"/>
            </w:tcBorders>
            <w:vAlign w:val="center"/>
          </w:tcPr>
          <w:p w14:paraId="5C4CC6D8" w14:textId="77777777" w:rsidR="000F1AAF" w:rsidRPr="000F1AAF" w:rsidRDefault="000F1AAF" w:rsidP="0008434D">
            <w:pPr>
              <w:spacing w:after="0"/>
              <w:contextualSpacing/>
              <w:rPr>
                <w:rFonts w:ascii="Verdana" w:hAnsi="Verdana" w:cs="Arial"/>
                <w:sz w:val="20"/>
                <w:szCs w:val="20"/>
              </w:rPr>
            </w:pPr>
            <w:r w:rsidRPr="000F1AAF">
              <w:rPr>
                <w:rFonts w:ascii="Verdana" w:hAnsi="Verdana" w:cs="Arial"/>
                <w:sz w:val="20"/>
                <w:szCs w:val="20"/>
              </w:rPr>
              <w:t>Primary care</w:t>
            </w:r>
          </w:p>
        </w:tc>
        <w:tc>
          <w:tcPr>
            <w:tcW w:w="1485" w:type="pct"/>
            <w:tcBorders>
              <w:top w:val="single" w:sz="4" w:space="0" w:color="BFBFBF"/>
              <w:left w:val="single" w:sz="4" w:space="0" w:color="BFBFBF"/>
              <w:bottom w:val="single" w:sz="4" w:space="0" w:color="BFBFBF"/>
              <w:right w:val="single" w:sz="4" w:space="0" w:color="BFBFBF"/>
            </w:tcBorders>
            <w:vAlign w:val="center"/>
          </w:tcPr>
          <w:p w14:paraId="08753359" w14:textId="77777777" w:rsidR="000F1AAF" w:rsidRPr="000F1AAF" w:rsidRDefault="000F1AAF" w:rsidP="0008434D">
            <w:pPr>
              <w:spacing w:after="0"/>
              <w:rPr>
                <w:rFonts w:ascii="Verdana" w:hAnsi="Verdana" w:cs="Arial"/>
                <w:sz w:val="20"/>
                <w:szCs w:val="20"/>
              </w:rPr>
            </w:pPr>
            <w:r w:rsidRPr="000F1AAF">
              <w:rPr>
                <w:rFonts w:ascii="Verdana" w:hAnsi="Verdana" w:cs="Arial"/>
                <w:sz w:val="20"/>
                <w:szCs w:val="20"/>
              </w:rPr>
              <w:t>The number of patients with AF and a CHA</w:t>
            </w:r>
            <w:r w:rsidRPr="000F1AAF">
              <w:rPr>
                <w:rFonts w:ascii="Verdana" w:hAnsi="Verdana" w:cs="Arial"/>
                <w:sz w:val="20"/>
                <w:szCs w:val="20"/>
                <w:vertAlign w:val="subscript"/>
              </w:rPr>
              <w:t>2</w:t>
            </w:r>
            <w:r w:rsidRPr="000F1AAF">
              <w:rPr>
                <w:rFonts w:ascii="Verdana" w:hAnsi="Verdana" w:cs="Arial"/>
                <w:sz w:val="20"/>
                <w:szCs w:val="20"/>
              </w:rPr>
              <w:t>DS</w:t>
            </w:r>
            <w:r w:rsidRPr="000F1AAF">
              <w:rPr>
                <w:rFonts w:ascii="Verdana" w:hAnsi="Verdana" w:cs="Arial"/>
                <w:sz w:val="20"/>
                <w:szCs w:val="20"/>
                <w:vertAlign w:val="subscript"/>
              </w:rPr>
              <w:t>2</w:t>
            </w:r>
            <w:r w:rsidRPr="000F1AAF">
              <w:rPr>
                <w:rFonts w:ascii="Verdana" w:hAnsi="Verdana" w:cs="Arial"/>
                <w:sz w:val="20"/>
                <w:szCs w:val="20"/>
              </w:rPr>
              <w:t>-VAS</w:t>
            </w:r>
            <w:r w:rsidRPr="000F1AAF">
              <w:rPr>
                <w:rFonts w:ascii="Verdana" w:hAnsi="Verdana" w:cs="Arial"/>
                <w:sz w:val="20"/>
                <w:szCs w:val="20"/>
                <w:vertAlign w:val="subscript"/>
              </w:rPr>
              <w:t>C</w:t>
            </w:r>
            <w:r w:rsidRPr="000F1AAF">
              <w:rPr>
                <w:rFonts w:ascii="Verdana" w:hAnsi="Verdana" w:cs="Arial"/>
                <w:sz w:val="20"/>
                <w:szCs w:val="20"/>
              </w:rPr>
              <w:t xml:space="preserve"> score of 2 or more who are currently prescribed an anticoagulant, as a percentage of all patients with AF.</w:t>
            </w:r>
          </w:p>
        </w:tc>
        <w:tc>
          <w:tcPr>
            <w:tcW w:w="1511" w:type="pct"/>
            <w:tcBorders>
              <w:top w:val="single" w:sz="4" w:space="0" w:color="BFBFBF"/>
              <w:left w:val="single" w:sz="4" w:space="0" w:color="BFBFBF"/>
              <w:bottom w:val="single" w:sz="4" w:space="0" w:color="BFBFBF"/>
              <w:right w:val="single" w:sz="4" w:space="0" w:color="BFBFBF"/>
            </w:tcBorders>
            <w:vAlign w:val="center"/>
          </w:tcPr>
          <w:p w14:paraId="133F9FDF" w14:textId="77777777" w:rsidR="000F1AAF" w:rsidRPr="000F1AAF" w:rsidRDefault="000F1AAF" w:rsidP="0008434D">
            <w:pPr>
              <w:spacing w:after="0"/>
              <w:rPr>
                <w:rFonts w:ascii="Verdana" w:hAnsi="Verdana" w:cs="Arial"/>
                <w:color w:val="000000"/>
                <w:sz w:val="20"/>
                <w:szCs w:val="20"/>
              </w:rPr>
            </w:pPr>
            <w:r w:rsidRPr="000F1AAF">
              <w:rPr>
                <w:rFonts w:ascii="Verdana" w:hAnsi="Verdana" w:cs="Arial"/>
                <w:color w:val="000000"/>
                <w:sz w:val="20"/>
                <w:szCs w:val="20"/>
              </w:rPr>
              <w:t xml:space="preserve">To increase the number of patients with </w:t>
            </w:r>
            <w:r w:rsidRPr="000F1AAF">
              <w:rPr>
                <w:rFonts w:ascii="Verdana" w:hAnsi="Verdana" w:cs="Arial"/>
                <w:sz w:val="20"/>
                <w:szCs w:val="20"/>
              </w:rPr>
              <w:t>AF and a CHA</w:t>
            </w:r>
            <w:r w:rsidRPr="000F1AAF">
              <w:rPr>
                <w:rFonts w:ascii="Verdana" w:hAnsi="Verdana" w:cs="Arial"/>
                <w:sz w:val="20"/>
                <w:szCs w:val="20"/>
                <w:vertAlign w:val="subscript"/>
              </w:rPr>
              <w:t>2</w:t>
            </w:r>
            <w:r w:rsidRPr="000F1AAF">
              <w:rPr>
                <w:rFonts w:ascii="Verdana" w:hAnsi="Verdana" w:cs="Arial"/>
                <w:sz w:val="20"/>
                <w:szCs w:val="20"/>
              </w:rPr>
              <w:t>DS</w:t>
            </w:r>
            <w:r w:rsidRPr="000F1AAF">
              <w:rPr>
                <w:rFonts w:ascii="Verdana" w:hAnsi="Verdana" w:cs="Arial"/>
                <w:sz w:val="20"/>
                <w:szCs w:val="20"/>
                <w:vertAlign w:val="subscript"/>
              </w:rPr>
              <w:t>2</w:t>
            </w:r>
            <w:r w:rsidRPr="000F1AAF">
              <w:rPr>
                <w:rFonts w:ascii="Verdana" w:hAnsi="Verdana" w:cs="Arial"/>
                <w:sz w:val="20"/>
                <w:szCs w:val="20"/>
              </w:rPr>
              <w:t>-VAS</w:t>
            </w:r>
            <w:r w:rsidRPr="000F1AAF">
              <w:rPr>
                <w:rFonts w:ascii="Verdana" w:hAnsi="Verdana" w:cs="Arial"/>
                <w:sz w:val="20"/>
                <w:szCs w:val="20"/>
                <w:vertAlign w:val="subscript"/>
              </w:rPr>
              <w:t>C</w:t>
            </w:r>
            <w:r w:rsidRPr="000F1AAF">
              <w:rPr>
                <w:rFonts w:ascii="Verdana" w:hAnsi="Verdana" w:cs="Arial"/>
                <w:sz w:val="20"/>
                <w:szCs w:val="20"/>
              </w:rPr>
              <w:t xml:space="preserve"> score of 2 or more prescribed an anticoagulant.</w:t>
            </w:r>
          </w:p>
        </w:tc>
      </w:tr>
      <w:tr w:rsidR="000F1AAF" w:rsidRPr="000F1AAF" w14:paraId="05863B83" w14:textId="77777777" w:rsidTr="000F1AAF">
        <w:trPr>
          <w:cantSplit/>
          <w:trHeight w:val="20"/>
          <w:tblHeader/>
          <w:jc w:val="center"/>
        </w:trPr>
        <w:tc>
          <w:tcPr>
            <w:tcW w:w="1231" w:type="pct"/>
            <w:vMerge/>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4F4F4"/>
            <w:vAlign w:val="center"/>
          </w:tcPr>
          <w:p w14:paraId="0B60366E" w14:textId="77777777" w:rsidR="000F1AAF" w:rsidRPr="000F1AAF" w:rsidRDefault="000F1AAF" w:rsidP="0008434D">
            <w:pPr>
              <w:spacing w:after="0"/>
              <w:contextualSpacing/>
              <w:rPr>
                <w:rFonts w:ascii="Verdana" w:hAnsi="Verdana" w:cs="Arial"/>
                <w:b/>
                <w:sz w:val="20"/>
                <w:szCs w:val="20"/>
              </w:rPr>
            </w:pPr>
          </w:p>
        </w:tc>
        <w:tc>
          <w:tcPr>
            <w:tcW w:w="773" w:type="pct"/>
            <w:vMerge/>
            <w:tcBorders>
              <w:top w:val="single" w:sz="4" w:space="0" w:color="BFBFBF" w:themeColor="background1" w:themeShade="BF"/>
              <w:left w:val="single" w:sz="4" w:space="0" w:color="BFBFBF"/>
              <w:bottom w:val="single" w:sz="4" w:space="0" w:color="BFBFBF" w:themeColor="background1" w:themeShade="BF"/>
              <w:right w:val="single" w:sz="4" w:space="0" w:color="BFBFBF"/>
            </w:tcBorders>
            <w:vAlign w:val="center"/>
          </w:tcPr>
          <w:p w14:paraId="0514C067" w14:textId="77777777" w:rsidR="000F1AAF" w:rsidRPr="000F1AAF" w:rsidRDefault="000F1AAF" w:rsidP="0008434D">
            <w:pPr>
              <w:spacing w:after="0"/>
              <w:contextualSpacing/>
              <w:rPr>
                <w:rFonts w:ascii="Verdana" w:hAnsi="Verdana" w:cs="Arial"/>
                <w:sz w:val="20"/>
                <w:szCs w:val="20"/>
              </w:rPr>
            </w:pPr>
          </w:p>
        </w:tc>
        <w:tc>
          <w:tcPr>
            <w:tcW w:w="1485"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0825E9DE" w14:textId="77777777" w:rsidR="000F1AAF" w:rsidRPr="000F1AAF" w:rsidRDefault="000F1AAF" w:rsidP="0008434D">
            <w:pPr>
              <w:spacing w:after="0"/>
              <w:rPr>
                <w:rFonts w:ascii="Verdana" w:hAnsi="Verdana" w:cs="Arial"/>
                <w:sz w:val="20"/>
                <w:szCs w:val="20"/>
              </w:rPr>
            </w:pPr>
            <w:r w:rsidRPr="000F1AAF">
              <w:rPr>
                <w:rFonts w:ascii="Verdana" w:hAnsi="Verdana" w:cs="Arial"/>
                <w:sz w:val="20"/>
                <w:szCs w:val="20"/>
              </w:rPr>
              <w:t>The number of patients diagnosed with AF who are prescribed an anticoagulant and have received an anticoagulant review within the last 12 months, as a percentage of all patients diagnosed with AF who are prescribed an anticoagulant.</w:t>
            </w:r>
          </w:p>
        </w:tc>
        <w:tc>
          <w:tcPr>
            <w:tcW w:w="1511"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318990D6" w14:textId="77777777" w:rsidR="000F1AAF" w:rsidRPr="000F1AAF" w:rsidRDefault="000F1AAF" w:rsidP="0008434D">
            <w:pPr>
              <w:spacing w:after="0"/>
              <w:rPr>
                <w:rFonts w:ascii="Verdana" w:hAnsi="Verdana" w:cs="Arial"/>
                <w:color w:val="000000"/>
                <w:sz w:val="20"/>
                <w:szCs w:val="20"/>
              </w:rPr>
            </w:pPr>
            <w:r w:rsidRPr="000F1AAF">
              <w:rPr>
                <w:rFonts w:ascii="Verdana" w:hAnsi="Verdana" w:cs="Arial"/>
                <w:sz w:val="20"/>
                <w:szCs w:val="20"/>
              </w:rPr>
              <w:t>To increase the number of patients who are prescribed an anticoagulant and have received an anticoagulant review within the last 12 months.</w:t>
            </w:r>
          </w:p>
        </w:tc>
      </w:tr>
      <w:tr w:rsidR="000F1AAF" w:rsidRPr="000F1AAF" w14:paraId="1A42470B" w14:textId="77777777" w:rsidTr="000F1AAF">
        <w:trPr>
          <w:cantSplit/>
          <w:trHeight w:val="20"/>
          <w:tblHeader/>
          <w:jc w:val="center"/>
        </w:trPr>
        <w:tc>
          <w:tcPr>
            <w:tcW w:w="1231" w:type="pct"/>
            <w:vMerge/>
            <w:tcBorders>
              <w:top w:val="single" w:sz="4" w:space="0" w:color="BFBFBF"/>
              <w:left w:val="single" w:sz="4" w:space="0" w:color="BFBFBF"/>
              <w:bottom w:val="single" w:sz="4" w:space="0" w:color="BFBFBF" w:themeColor="background1" w:themeShade="BF"/>
              <w:right w:val="single" w:sz="4" w:space="0" w:color="BFBFBF"/>
            </w:tcBorders>
            <w:shd w:val="clear" w:color="auto" w:fill="F4F4F4"/>
            <w:vAlign w:val="center"/>
          </w:tcPr>
          <w:p w14:paraId="09A5B4EF" w14:textId="77777777" w:rsidR="000F1AAF" w:rsidRPr="000F1AAF" w:rsidRDefault="000F1AAF" w:rsidP="0008434D">
            <w:pPr>
              <w:spacing w:after="0"/>
              <w:contextualSpacing/>
              <w:rPr>
                <w:rFonts w:ascii="Verdana" w:hAnsi="Verdana" w:cs="Arial"/>
                <w:b/>
                <w:sz w:val="20"/>
                <w:szCs w:val="20"/>
              </w:rPr>
            </w:pPr>
          </w:p>
        </w:tc>
        <w:tc>
          <w:tcPr>
            <w:tcW w:w="773" w:type="pct"/>
            <w:vMerge/>
            <w:tcBorders>
              <w:top w:val="single" w:sz="4" w:space="0" w:color="BFBFBF"/>
              <w:left w:val="single" w:sz="4" w:space="0" w:color="BFBFBF"/>
              <w:bottom w:val="single" w:sz="4" w:space="0" w:color="BFBFBF" w:themeColor="background1" w:themeShade="BF"/>
              <w:right w:val="single" w:sz="4" w:space="0" w:color="BFBFBF"/>
            </w:tcBorders>
            <w:vAlign w:val="center"/>
          </w:tcPr>
          <w:p w14:paraId="351AEBF9" w14:textId="77777777" w:rsidR="000F1AAF" w:rsidRPr="000F1AAF" w:rsidRDefault="000F1AAF" w:rsidP="0008434D">
            <w:pPr>
              <w:spacing w:after="0"/>
              <w:contextualSpacing/>
              <w:rPr>
                <w:rFonts w:ascii="Verdana" w:hAnsi="Verdana" w:cs="Arial"/>
                <w:sz w:val="20"/>
                <w:szCs w:val="20"/>
              </w:rPr>
            </w:pPr>
          </w:p>
        </w:tc>
        <w:tc>
          <w:tcPr>
            <w:tcW w:w="1485" w:type="pct"/>
            <w:tcBorders>
              <w:top w:val="single" w:sz="4" w:space="0" w:color="BFBFBF"/>
              <w:left w:val="single" w:sz="4" w:space="0" w:color="BFBFBF"/>
              <w:bottom w:val="single" w:sz="4" w:space="0" w:color="BFBFBF"/>
              <w:right w:val="single" w:sz="4" w:space="0" w:color="BFBFBF"/>
            </w:tcBorders>
            <w:vAlign w:val="center"/>
          </w:tcPr>
          <w:p w14:paraId="64DB7D4E" w14:textId="77777777" w:rsidR="000F1AAF" w:rsidRPr="000F1AAF" w:rsidRDefault="000F1AAF" w:rsidP="0008434D">
            <w:pPr>
              <w:spacing w:after="0"/>
              <w:rPr>
                <w:rFonts w:ascii="Verdana" w:hAnsi="Verdana" w:cs="Arial"/>
                <w:sz w:val="20"/>
                <w:szCs w:val="20"/>
              </w:rPr>
            </w:pPr>
            <w:r w:rsidRPr="000F1AAF">
              <w:rPr>
                <w:rFonts w:ascii="Verdana" w:hAnsi="Verdana" w:cs="Arial"/>
                <w:sz w:val="20"/>
                <w:szCs w:val="20"/>
              </w:rPr>
              <w:t>The number of patients diagnosed with AF who are prescribed antiplatelet monotherapy, as a percentage of all patients diagnosed with AF.</w:t>
            </w:r>
          </w:p>
        </w:tc>
        <w:tc>
          <w:tcPr>
            <w:tcW w:w="1511" w:type="pct"/>
            <w:tcBorders>
              <w:top w:val="single" w:sz="4" w:space="0" w:color="BFBFBF"/>
              <w:left w:val="single" w:sz="4" w:space="0" w:color="BFBFBF"/>
              <w:bottom w:val="single" w:sz="4" w:space="0" w:color="BFBFBF"/>
              <w:right w:val="single" w:sz="4" w:space="0" w:color="BFBFBF"/>
            </w:tcBorders>
            <w:vAlign w:val="center"/>
          </w:tcPr>
          <w:p w14:paraId="53630EF9" w14:textId="77777777" w:rsidR="000F1AAF" w:rsidRPr="000F1AAF" w:rsidRDefault="000F1AAF" w:rsidP="0008434D">
            <w:pPr>
              <w:spacing w:after="0"/>
              <w:contextualSpacing/>
              <w:rPr>
                <w:rFonts w:ascii="Verdana" w:hAnsi="Verdana" w:cs="Arial"/>
                <w:color w:val="000000"/>
                <w:sz w:val="20"/>
                <w:szCs w:val="20"/>
              </w:rPr>
            </w:pPr>
            <w:r w:rsidRPr="000F1AAF">
              <w:rPr>
                <w:rFonts w:ascii="Verdana" w:hAnsi="Verdana" w:cs="Arial"/>
                <w:sz w:val="20"/>
                <w:szCs w:val="20"/>
              </w:rPr>
              <w:t>To reduce the number of patients with AF prescribed antiplatelet monotherapy</w:t>
            </w:r>
            <w:r w:rsidRPr="000F1AAF">
              <w:rPr>
                <w:rFonts w:ascii="Verdana" w:hAnsi="Verdana" w:cs="Arial"/>
                <w:color w:val="000000"/>
                <w:sz w:val="20"/>
                <w:szCs w:val="20"/>
              </w:rPr>
              <w:t>.</w:t>
            </w:r>
          </w:p>
        </w:tc>
      </w:tr>
    </w:tbl>
    <w:p w14:paraId="54459D7E" w14:textId="77777777" w:rsidR="000F1AAF" w:rsidRPr="00CD05FD" w:rsidRDefault="000F1AAF">
      <w:pPr>
        <w:rPr>
          <w:color w:val="000000" w:themeColor="text1"/>
        </w:rPr>
      </w:pPr>
    </w:p>
    <w:sectPr w:rsidR="000F1AAF" w:rsidRPr="00CD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D"/>
    <w:rsid w:val="000219F4"/>
    <w:rsid w:val="000F1AAF"/>
    <w:rsid w:val="00493999"/>
    <w:rsid w:val="00566A0B"/>
    <w:rsid w:val="00941775"/>
    <w:rsid w:val="00A51607"/>
    <w:rsid w:val="00CD05FD"/>
    <w:rsid w:val="00F0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986B"/>
  <w15:chartTrackingRefBased/>
  <w15:docId w15:val="{5B06A469-ABC7-4653-98CF-470216CA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uiPriority w:val="9"/>
    <w:semiHidden/>
    <w:unhideWhenUsed/>
    <w:qFormat/>
    <w:rsid w:val="000F1A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F1AA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0F1A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6</cp:revision>
  <dcterms:created xsi:type="dcterms:W3CDTF">2021-09-10T07:17:00Z</dcterms:created>
  <dcterms:modified xsi:type="dcterms:W3CDTF">2021-09-16T14:32:00Z</dcterms:modified>
</cp:coreProperties>
</file>