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AEF9" w14:textId="45E22875" w:rsidR="00566A0B" w:rsidRDefault="00BE72CC">
      <w:r w:rsidRPr="00BE72CC">
        <w:rPr>
          <w:rFonts w:ascii="Verdana" w:hAnsi="Verdana"/>
          <w:b/>
          <w:bCs/>
          <w:sz w:val="24"/>
          <w:szCs w:val="24"/>
        </w:rPr>
        <w:t xml:space="preserve">Percentage of patients with AF who are prescribed an anticoagulant and have received an anticoagulant review </w:t>
      </w:r>
      <w:r w:rsidR="006277E5">
        <w:rPr>
          <w:rFonts w:ascii="Verdana" w:hAnsi="Verdana"/>
          <w:b/>
          <w:bCs/>
          <w:sz w:val="24"/>
          <w:szCs w:val="24"/>
        </w:rPr>
        <w:t xml:space="preserve">         </w:t>
      </w:r>
      <w:r w:rsidRPr="00BE72CC">
        <w:rPr>
          <w:rFonts w:ascii="Verdana" w:hAnsi="Verdana"/>
          <w:b/>
          <w:bCs/>
          <w:sz w:val="24"/>
          <w:szCs w:val="24"/>
        </w:rPr>
        <w:t>within the last 12 months</w:t>
      </w:r>
    </w:p>
    <w:p w14:paraId="29EC7D9B" w14:textId="587E4B2A" w:rsidR="00BE72CC" w:rsidRDefault="00BE72CC"/>
    <w:p w14:paraId="00167F4D" w14:textId="7A1E55CE" w:rsidR="00BE72CC" w:rsidRDefault="00BE72CC">
      <w:r>
        <w:rPr>
          <w:noProof/>
          <w:lang w:eastAsia="en-GB"/>
        </w:rPr>
        <w:drawing>
          <wp:inline distT="0" distB="0" distL="0" distR="0" wp14:anchorId="78CEBFD0" wp14:editId="0493AB86">
            <wp:extent cx="5731510" cy="3250565"/>
            <wp:effectExtent l="0" t="0" r="2540" b="6985"/>
            <wp:docPr id="35" name="Chart 35" descr="Chart showing percentage of patients with AF who are prescribed an anticoagulant and have received an anticoagulant review within the last 12 month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E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CC"/>
    <w:rsid w:val="00566A0B"/>
    <w:rsid w:val="006277E5"/>
    <w:rsid w:val="008E03B0"/>
    <w:rsid w:val="00B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7493"/>
  <w15:chartTrackingRefBased/>
  <w15:docId w15:val="{747C8F31-32DA-4695-B37A-03C91722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av-vstor02\Departments\Welsh%20Medicines%20Partnership\National%20Prescribing%20Indicators\Indicators%202021-2022\HEIW%20NPI%20module\Data%20and%20references\NPI%20graph%20data%20for%20HEIW%20v1.0%20T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'Anticoags - Reviews'!$E$2</c:f>
              <c:strCache>
                <c:ptCount val="1"/>
                <c:pt idx="0">
                  <c:v>Dec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'Anticoags - Reviews'!$F$1:$L$1</c:f>
              <c:strCache>
                <c:ptCount val="7"/>
                <c:pt idx="0">
                  <c:v>Aneurin Bevan</c:v>
                </c:pt>
                <c:pt idx="1">
                  <c:v>Betsi Cadwaladr</c:v>
                </c:pt>
                <c:pt idx="2">
                  <c:v>Cardiff and Vale</c:v>
                </c:pt>
                <c:pt idx="3">
                  <c:v>Cwm Taf Morgannwg</c:v>
                </c:pt>
                <c:pt idx="4">
                  <c:v>Hywel Dda</c:v>
                </c:pt>
                <c:pt idx="5">
                  <c:v>Powys</c:v>
                </c:pt>
                <c:pt idx="6">
                  <c:v>Swansea Bay</c:v>
                </c:pt>
              </c:strCache>
            </c:strRef>
          </c:cat>
          <c:val>
            <c:numRef>
              <c:f>'Anticoags - Reviews'!$F$2:$L$2</c:f>
              <c:numCache>
                <c:formatCode>0.0%</c:formatCode>
                <c:ptCount val="7"/>
                <c:pt idx="0">
                  <c:v>0.34468476760239303</c:v>
                </c:pt>
                <c:pt idx="1">
                  <c:v>0.34227895843910933</c:v>
                </c:pt>
                <c:pt idx="2">
                  <c:v>0.492318339100346</c:v>
                </c:pt>
                <c:pt idx="3">
                  <c:v>0.40175853905985798</c:v>
                </c:pt>
                <c:pt idx="4">
                  <c:v>0.15072587532023912</c:v>
                </c:pt>
                <c:pt idx="5">
                  <c:v>0.27380191693290734</c:v>
                </c:pt>
                <c:pt idx="6">
                  <c:v>0.29572958686882739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BF-44C9-8485-34FA92C827B0}"/>
            </c:ext>
          </c:extLst>
        </c:ser>
        <c:ser>
          <c:idx val="1"/>
          <c:order val="1"/>
          <c:tx>
            <c:strRef>
              <c:f>'Anticoags - Reviews'!$E$3</c:f>
              <c:strCache>
                <c:ptCount val="1"/>
                <c:pt idx="0">
                  <c:v>Dec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'Anticoags - Reviews'!$F$1:$L$1</c:f>
              <c:strCache>
                <c:ptCount val="7"/>
                <c:pt idx="0">
                  <c:v>Aneurin Bevan</c:v>
                </c:pt>
                <c:pt idx="1">
                  <c:v>Betsi Cadwaladr</c:v>
                </c:pt>
                <c:pt idx="2">
                  <c:v>Cardiff and Vale</c:v>
                </c:pt>
                <c:pt idx="3">
                  <c:v>Cwm Taf Morgannwg</c:v>
                </c:pt>
                <c:pt idx="4">
                  <c:v>Hywel Dda</c:v>
                </c:pt>
                <c:pt idx="5">
                  <c:v>Powys</c:v>
                </c:pt>
                <c:pt idx="6">
                  <c:v>Swansea Bay</c:v>
                </c:pt>
              </c:strCache>
            </c:strRef>
          </c:cat>
          <c:val>
            <c:numRef>
              <c:f>'Anticoags - Reviews'!$F$3:$L$3</c:f>
              <c:numCache>
                <c:formatCode>0.0%</c:formatCode>
                <c:ptCount val="7"/>
                <c:pt idx="0">
                  <c:v>0.38702139133561031</c:v>
                </c:pt>
                <c:pt idx="1">
                  <c:v>0.4012218512467145</c:v>
                </c:pt>
                <c:pt idx="2">
                  <c:v>0.53081777897139792</c:v>
                </c:pt>
                <c:pt idx="3">
                  <c:v>0.46391172165296701</c:v>
                </c:pt>
                <c:pt idx="4">
                  <c:v>0.23366336633663368</c:v>
                </c:pt>
                <c:pt idx="5">
                  <c:v>0.3418181818181818</c:v>
                </c:pt>
                <c:pt idx="6">
                  <c:v>0.56866924204076197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BF-44C9-8485-34FA92C82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8666896"/>
        <c:axId val="348667456"/>
      </c:barChart>
      <c:catAx>
        <c:axId val="34866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+mn-ea"/>
                <a:cs typeface="+mn-cs"/>
              </a:defRPr>
            </a:pPr>
            <a:endParaRPr lang="en-US"/>
          </a:p>
        </c:txPr>
        <c:crossAx val="348667456"/>
        <c:crosses val="autoZero"/>
        <c:auto val="1"/>
        <c:lblAlgn val="ctr"/>
        <c:lblOffset val="100"/>
        <c:noMultiLvlLbl val="0"/>
      </c:catAx>
      <c:valAx>
        <c:axId val="34866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  <a:latin typeface="Verdana" panose="020B0604030504040204" pitchFamily="34" charset="0"/>
                    <a:ea typeface="Verdana" panose="020B0604030504040204" pitchFamily="34" charset="0"/>
                  </a:rPr>
                  <a:t>Percentage</a:t>
                </a:r>
                <a:endParaRPr lang="en-GB" sz="400">
                  <a:effectLst/>
                  <a:latin typeface="Verdana" panose="020B0604030504040204" pitchFamily="34" charset="0"/>
                  <a:ea typeface="Verdana" panose="020B0604030504040204" pitchFamily="34" charset="0"/>
                </a:endParaRPr>
              </a:p>
            </c:rich>
          </c:tx>
          <c:layout>
            <c:manualLayout>
              <c:xMode val="edge"/>
              <c:yMode val="edge"/>
              <c:x val="9.9502487562189053E-3"/>
              <c:y val="0.391046553391352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866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Verdana" panose="020B060403050404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2</cp:revision>
  <dcterms:created xsi:type="dcterms:W3CDTF">2021-09-10T10:15:00Z</dcterms:created>
  <dcterms:modified xsi:type="dcterms:W3CDTF">2021-09-10T10:48:00Z</dcterms:modified>
</cp:coreProperties>
</file>